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2195195</wp:posOffset>
            </wp:positionH>
            <wp:positionV relativeFrom="paragraph">
              <wp:posOffset>28575</wp:posOffset>
            </wp:positionV>
            <wp:extent cx="1143317" cy="1143318"/>
            <wp:effectExtent b="0" l="0" r="0" t="0"/>
            <wp:wrapSquare wrapText="bothSides" distB="114300" distT="11430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317" cy="11433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XXIII MAZOWIECKI PRZEGLĄD TEATRÓW DZIECI I MŁODZIEŻY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IM. PIOTRA GRABOWSKIEGO 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MASKA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708.000000000000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32" w:firstLine="708.0000000000001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REGULAMIN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Organizator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Dom Kultury ŚWIT w Dzielnicy Targówek m.st. Warszawy, ul. Wysockiego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Idea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Zaproszenie dzieci i młodzieży w podróż do świata wyobraźni i magii teatru oraz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dialogu i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wyrażania siebie</w:t>
      </w:r>
      <w:r w:rsidDel="00000000" w:rsidR="00000000" w:rsidRPr="00000000">
        <w:rPr>
          <w:sz w:val="22"/>
          <w:szCs w:val="22"/>
          <w:rtl w:val="0"/>
        </w:rPr>
        <w:t xml:space="preserve"> poprzez sztukę.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Cele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Zachęcenie dzieci i młodzieży do czynnego udziału w amatorskim ruchu teatralnym.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Zaszczepianie i propagowanie teatru innowacyjnego, kreatywnego i aktywizującego.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Prezentacja spektakli teatralnych będących głosem młodego pokolenia i jego refleksją  </w:t>
        <w:br w:type="textWrapping"/>
        <w:t xml:space="preserve">nad otaczającą go rzeczywistością.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Wymiana doświadczeń inscenizacyjnych i  podnoszenie poziomu artystycznego amatorskich teatrów.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Zasady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Impreza ma charakter otwartego przeglądu  dla amatorskich zespołów teatralnych dzieci </w:t>
        <w:br w:type="textWrapping"/>
        <w:t xml:space="preserve">i młodzieży działających na terenie województwa mazowieckiego.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Tematyka spektakli jest dowolna.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Zespoły teatralne przygotowują spektakl w dowolnie wybranym przez siebie gatunku </w:t>
        <w:br w:type="textWrapping"/>
        <w:t xml:space="preserve">i formie np. monodram, musical, komedia, kabaret, teatr cieni, lalek.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Zespoły nie mogą zgłaszać do przeglądu spektakli, które prezentowały w poprzednich latach.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Prezentacje odbywają się w formie 3-4 godzinnych bloków w ramach których 3-4 zespoły teatralne mają czas na przygotowanie, prezentację spektaklu oraz wzajemne obejrzenie spektakli.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Organizator nie zapewnia noclegów, wyżywienia i zwrotu kosztów podróży.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Kategorie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Przegląd  odbywa się w  czterech kategoriach wiekowych: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Przedszkolaki.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Dzieci młodsze (klasy I - III SP).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Dzieci starsze (klasy IV-VI SP).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Młodzież (klasy gimnazjalne i szkoły średnie).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W przypadku zespołu teatralnego o składzie obejmującym więcej niż jedną z ww.  kategorii, </w:t>
        <w:br w:type="textWrapping"/>
        <w:t xml:space="preserve">o właściwej klasyfikacji decydować będzie przynależność bezwzględnej większości składu aktorskiego do jednej z wymienionych kategorii.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Zgłoszenie do konkursu następuje poprzez dostarczenie do siedziby Organizatora: zapisu fragmentu spektaklu (min. 15 minut) na płycie DVD oraz karty zgłoszenia, dostępnej do pobrania na stronie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www.dkswit.com.pl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Zgłoszenia należy dostarczyć do dnia 10 marca 2017 r.,</w:t>
      </w:r>
      <w:r w:rsidDel="00000000" w:rsidR="00000000" w:rsidRPr="00000000">
        <w:rPr>
          <w:sz w:val="22"/>
          <w:szCs w:val="22"/>
          <w:rtl w:val="0"/>
        </w:rPr>
        <w:t xml:space="preserve"> osobiście lub pocztą tradycyjną na adres: Dom Kultury ŚWIT w Dzielnicy Targówek m.st. Warszawy, ul. Wysockiego 11, 03 - 371 Warszawa, z dopiskiem MASKA 2017. Decyduje data wpływu do siedziby Organizatora.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Karty zgłoszenia można przesłać również drogą elektroniczną </w:t>
      </w:r>
      <w:r w:rsidDel="00000000" w:rsidR="00000000" w:rsidRPr="00000000">
        <w:rPr>
          <w:b w:val="1"/>
          <w:sz w:val="22"/>
          <w:szCs w:val="22"/>
          <w:rtl w:val="0"/>
        </w:rPr>
        <w:t xml:space="preserve">w terminie do 10 marca 2017 r., </w:t>
      </w:r>
      <w:r w:rsidDel="00000000" w:rsidR="00000000" w:rsidRPr="00000000">
        <w:rPr>
          <w:sz w:val="22"/>
          <w:szCs w:val="22"/>
          <w:rtl w:val="0"/>
        </w:rPr>
        <w:t xml:space="preserve">na adres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amiczko@dkswit.com.pl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Zgłoszenie uczestnictwa jest jednoznaczne z przyjęciem warunków regulaminu.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Warunki techniczne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Organizatorzy zapewniają możliwość prezentacji na scenie widowiskowej, sprzęt nagłaśniający, oświetleniowy i pianino elektryczne.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Szczegółowy sposób wykorzystania urządzeń technicznych powinien być przedstawiony </w:t>
        <w:br w:type="textWrapping"/>
        <w:t xml:space="preserve">w karcie zgłoszenia.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Organizator nie przewiduje prób. Między spektaklami  odbędzie się 10-15 minutowa przerwa techniczna na zmianę scenografii.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Kryteria oceny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Ocenie przez Jury podlega:</w:t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Rule="auto"/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Scenariusz.</w:t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Rule="auto"/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Reżyseria.</w:t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Rule="auto"/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Predyspozycje i uzdolnienia aktorskie.</w:t>
      </w:r>
    </w:p>
    <w:p w:rsidR="00000000" w:rsidDel="00000000" w:rsidP="00000000" w:rsidRDefault="00000000" w:rsidRPr="00000000">
      <w:pPr>
        <w:numPr>
          <w:ilvl w:val="1"/>
          <w:numId w:val="7"/>
        </w:numPr>
        <w:spacing w:after="0" w:before="0" w:lineRule="auto"/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Ogólne wrażenie estetyczne i artystyczne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 przypadku dużej ilości zgłoszeń, Jury zastrzega sobie prawo do przeprowadzenia wstępnego przeglądu na podstawie nadesłanych nagrań </w:t>
      </w:r>
      <w:r w:rsidDel="00000000" w:rsidR="00000000" w:rsidRPr="00000000">
        <w:rPr>
          <w:b w:val="1"/>
          <w:sz w:val="22"/>
          <w:szCs w:val="22"/>
          <w:rtl w:val="0"/>
        </w:rPr>
        <w:t xml:space="preserve">w terminie do 15 marca  2017 r.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Informacja o przeprowadzeniu wstępnego przeglądu oraz jego wyniki zostaną zamieszczone na stronie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www.dkswit.com.pl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Jury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Organizator powoła Jury składające się z aktorów, reżyserów, pedagogów oraz krytyków teatralnych.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Każdy z uczestników przeglądu otrzyma dyplom.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Jury przyzna po trzy nagrody finansowe lub rzeczowe w czterech kategoriach wiekowych.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Jury ma prawo przyznać Grand Prix, indywidualne nagrody oraz wyróżnienia. 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Rule="auto"/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Werdykt i podział nagród wśród laureatów należy do wyłącznej kompetencji jury </w:t>
        <w:br w:type="textWrapping"/>
        <w:t xml:space="preserve">i przyjmuje się go jako ostateczny.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Terminy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Prezentacje odbędą się w Domu Kultury ŚWIT w dniach </w:t>
      </w:r>
      <w:r w:rsidDel="00000000" w:rsidR="00000000" w:rsidRPr="00000000">
        <w:rPr>
          <w:b w:val="1"/>
          <w:sz w:val="22"/>
          <w:szCs w:val="22"/>
          <w:rtl w:val="0"/>
        </w:rPr>
        <w:t xml:space="preserve">21, 23 i 24 marca 2017 r.</w:t>
      </w:r>
      <w:r w:rsidDel="00000000" w:rsidR="00000000" w:rsidRPr="00000000">
        <w:rPr>
          <w:sz w:val="22"/>
          <w:szCs w:val="22"/>
          <w:rtl w:val="0"/>
        </w:rPr>
        <w:t xml:space="preserve"> Szczegółowy plan prezentacji teatralnych Organizator ustali po zamknięciu listy zgłoszeń </w:t>
        <w:br w:type="textWrapping"/>
        <w:t xml:space="preserve">i niezwłocznie powiadomi uczestników.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Finał oraz uroczyste wręczenie nagród odbędzie się </w:t>
      </w:r>
      <w:r w:rsidDel="00000000" w:rsidR="00000000" w:rsidRPr="00000000">
        <w:rPr>
          <w:b w:val="1"/>
          <w:sz w:val="22"/>
          <w:szCs w:val="22"/>
          <w:rtl w:val="0"/>
        </w:rPr>
        <w:t xml:space="preserve">30 marca 2017 r. o godz. 17.00</w:t>
      </w:r>
      <w:r w:rsidDel="00000000" w:rsidR="00000000" w:rsidRPr="00000000">
        <w:rPr>
          <w:sz w:val="22"/>
          <w:szCs w:val="22"/>
          <w:rtl w:val="0"/>
        </w:rPr>
        <w:t xml:space="preserve"> </w:t>
        <w:br w:type="textWrapping"/>
        <w:t xml:space="preserve">w Domu Kultury ŚWIT. W finale zostanie zaprezentowany jeden z nagrodzonych spektakli oraz materiały foto-video z pozostałych nagrodzonych prezentacji.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Dodatkowych informacji o przeglądzie udzielają Anna Miczko, tel. 22 811-01-05, wew. 116,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amiczko@dkswit.com.pl</w:t>
        </w:r>
      </w:hyperlink>
      <w:r w:rsidDel="00000000" w:rsidR="00000000" w:rsidRPr="00000000">
        <w:rPr>
          <w:sz w:val="22"/>
          <w:szCs w:val="22"/>
          <w:rtl w:val="0"/>
        </w:rPr>
        <w:t xml:space="preserve">, Agata Kubrak, tel. 22 811-01-05 wew. 112.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664" w:firstLine="707.000000000000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1418" w:top="709" w:left="1418" w:right="141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yperlink" Target="mailto:amiczko@dkswit.com.pl" TargetMode="External"/><Relationship Id="rId5" Type="http://schemas.openxmlformats.org/officeDocument/2006/relationships/image" Target="media/image01.jpg"/><Relationship Id="rId6" Type="http://schemas.openxmlformats.org/officeDocument/2006/relationships/hyperlink" Target="http://www.dkswit.com.pl" TargetMode="External"/><Relationship Id="rId7" Type="http://schemas.openxmlformats.org/officeDocument/2006/relationships/hyperlink" Target="mailto:amiczko@dkswit.com.pl" TargetMode="External"/><Relationship Id="rId8" Type="http://schemas.openxmlformats.org/officeDocument/2006/relationships/hyperlink" Target="http://www.dkswit.com.pl" TargetMode="External"/></Relationships>
</file>